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ind w:left="0" w:right="0"/>
        <w:jc w:val="left"/>
        <w:rPr>
          <w:sz w:val="21"/>
          <w:szCs w:val="21"/>
        </w:rPr>
      </w:pPr>
      <w:r>
        <w:rPr>
          <w:rStyle w:val="5"/>
          <w:rFonts w:hint="eastAsia" w:ascii="宋体" w:hAnsi="宋体" w:eastAsia="宋体" w:cs="宋体"/>
          <w:sz w:val="21"/>
          <w:szCs w:val="21"/>
        </w:rPr>
        <w:t>附件3:互联网应用适老化及无障碍水平评测体系</w:t>
      </w:r>
    </w:p>
    <w:p>
      <w:pPr>
        <w:pStyle w:val="2"/>
        <w:keepNext w:val="0"/>
        <w:keepLines w:val="0"/>
        <w:widowControl/>
        <w:suppressLineNumbers w:val="0"/>
        <w:spacing w:before="0" w:beforeAutospacing="0" w:after="0" w:afterAutospacing="0"/>
        <w:ind w:left="0" w:right="0"/>
        <w:rPr>
          <w:sz w:val="21"/>
          <w:szCs w:val="21"/>
        </w:rPr>
      </w:pP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 根据《工业和信息化部关于印发互联网应用适老化及无障碍改造专项行动方案的通知》（工信部信管〔2020〕200号）要求，按照“用户体验与技术手段并重”的原则，结合相关国家标准、行业标准及适老化通用设计规范，建立本评测体系。</w:t>
      </w:r>
    </w:p>
    <w:p>
      <w:pPr>
        <w:pStyle w:val="2"/>
        <w:keepNext w:val="0"/>
        <w:keepLines w:val="0"/>
        <w:widowControl/>
        <w:suppressLineNumbers w:val="0"/>
        <w:spacing w:before="0" w:beforeAutospacing="0" w:after="0" w:afterAutospacing="0"/>
        <w:ind w:left="0" w:right="0"/>
        <w:rPr>
          <w:sz w:val="21"/>
          <w:szCs w:val="21"/>
        </w:rPr>
      </w:pPr>
    </w:p>
    <w:p>
      <w:pPr>
        <w:pStyle w:val="2"/>
        <w:keepNext w:val="0"/>
        <w:keepLines w:val="0"/>
        <w:widowControl/>
        <w:suppressLineNumbers w:val="0"/>
        <w:spacing w:before="0" w:beforeAutospacing="0" w:after="0" w:afterAutospacing="0"/>
        <w:ind w:left="0" w:right="0" w:firstLine="420"/>
        <w:jc w:val="left"/>
        <w:rPr>
          <w:sz w:val="21"/>
          <w:szCs w:val="21"/>
        </w:rPr>
      </w:pPr>
      <w:r>
        <w:rPr>
          <w:rFonts w:hint="eastAsia" w:ascii="宋体" w:hAnsi="宋体" w:eastAsia="宋体" w:cs="宋体"/>
          <w:sz w:val="21"/>
          <w:szCs w:val="21"/>
        </w:rPr>
        <w:t>互联网应用适老化及无障碍水平的评测体系由用户满意度评价、技术评价和自我评价三部分构成。总分值为100分，60分以上为合格，即通过评测。</w:t>
      </w:r>
    </w:p>
    <w:p>
      <w:pPr>
        <w:pStyle w:val="2"/>
        <w:keepNext w:val="0"/>
        <w:keepLines w:val="0"/>
        <w:widowControl/>
        <w:suppressLineNumbers w:val="0"/>
        <w:spacing w:before="0" w:beforeAutospacing="0" w:after="0" w:afterAutospacing="0"/>
        <w:ind w:left="0" w:right="0"/>
        <w:rPr>
          <w:sz w:val="21"/>
          <w:szCs w:val="21"/>
        </w:rPr>
      </w:pPr>
    </w:p>
    <w:tbl>
      <w:tblPr>
        <w:tblStyle w:val="3"/>
        <w:tblW w:w="680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1476"/>
        <w:gridCol w:w="924"/>
        <w:gridCol w:w="44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648" w:hRule="atLeast"/>
          <w:jc w:val="center"/>
        </w:trPr>
        <w:tc>
          <w:tcPr>
            <w:tcW w:w="1476" w:type="dxa"/>
            <w:tcBorders>
              <w:top w:val="single" w:color="auto" w:sz="4" w:space="0"/>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评测指标</w:t>
            </w:r>
          </w:p>
          <w:p>
            <w:pPr>
              <w:pStyle w:val="2"/>
              <w:keepNext w:val="0"/>
              <w:keepLines w:val="0"/>
              <w:widowControl/>
              <w:suppressLineNumbers w:val="0"/>
              <w:rPr>
                <w:rFonts w:hint="eastAsia" w:ascii="宋体" w:hAnsi="宋体" w:eastAsia="宋体" w:cs="宋体"/>
                <w:sz w:val="21"/>
                <w:szCs w:val="21"/>
              </w:rPr>
            </w:pPr>
          </w:p>
        </w:tc>
        <w:tc>
          <w:tcPr>
            <w:tcW w:w="92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权重</w:t>
            </w:r>
          </w:p>
          <w:p>
            <w:pPr>
              <w:pStyle w:val="2"/>
              <w:keepNext w:val="0"/>
              <w:keepLines w:val="0"/>
              <w:widowControl/>
              <w:suppressLineNumbers w:val="0"/>
              <w:rPr>
                <w:rFonts w:hint="eastAsia" w:ascii="宋体" w:hAnsi="宋体" w:eastAsia="宋体" w:cs="宋体"/>
                <w:sz w:val="21"/>
                <w:szCs w:val="21"/>
              </w:rPr>
            </w:pPr>
          </w:p>
        </w:tc>
        <w:tc>
          <w:tcPr>
            <w:tcW w:w="4404" w:type="dxa"/>
            <w:tcBorders>
              <w:top w:val="single" w:color="auto" w:sz="4" w:space="0"/>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评测依据</w:t>
            </w:r>
          </w:p>
          <w:p>
            <w:pPr>
              <w:pStyle w:val="2"/>
              <w:keepNext w:val="0"/>
              <w:keepLines w:val="0"/>
              <w:widowControl/>
              <w:suppressLineNumbers w:val="0"/>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2880" w:hRule="atLeast"/>
          <w:jc w:val="center"/>
        </w:trPr>
        <w:tc>
          <w:tcPr>
            <w:tcW w:w="1476" w:type="dxa"/>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用户满意度</w:t>
            </w:r>
          </w:p>
          <w:p>
            <w:pPr>
              <w:pStyle w:val="2"/>
              <w:keepNext w:val="0"/>
              <w:keepLines w:val="0"/>
              <w:widowControl/>
              <w:suppressLineNumbers w:val="0"/>
              <w:rPr>
                <w:rFonts w:hint="eastAsia" w:ascii="宋体" w:hAnsi="宋体" w:eastAsia="宋体" w:cs="宋体"/>
                <w:sz w:val="21"/>
                <w:szCs w:val="21"/>
              </w:rPr>
            </w:pPr>
          </w:p>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评价</w:t>
            </w:r>
          </w:p>
          <w:p>
            <w:pPr>
              <w:pStyle w:val="2"/>
              <w:keepNext w:val="0"/>
              <w:keepLines w:val="0"/>
              <w:widowControl/>
              <w:suppressLineNumbers w:val="0"/>
              <w:rPr>
                <w:rFonts w:hint="eastAsia" w:ascii="宋体" w:hAnsi="宋体" w:eastAsia="宋体" w:cs="宋体"/>
                <w:sz w:val="21"/>
                <w:szCs w:val="21"/>
              </w:rPr>
            </w:pP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40%</w:t>
            </w:r>
          </w:p>
          <w:p>
            <w:pPr>
              <w:pStyle w:val="2"/>
              <w:keepNext w:val="0"/>
              <w:keepLines w:val="0"/>
              <w:widowControl/>
              <w:suppressLineNumbers w:val="0"/>
              <w:rPr>
                <w:rFonts w:hint="eastAsia" w:ascii="宋体" w:hAnsi="宋体" w:eastAsia="宋体" w:cs="宋体"/>
                <w:sz w:val="21"/>
                <w:szCs w:val="21"/>
              </w:rPr>
            </w:pPr>
          </w:p>
        </w:tc>
        <w:tc>
          <w:tcPr>
            <w:tcW w:w="440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top"/>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组织老年人、残疾人满意度评价团，以问卷调查、上手体验、电话访谈等方式开展满意度调查，形成用户满意度评价报告。其中，网站方面重点调查老年人、残疾人等重点受益群体对网页内容可访问性、访问操作效率性的满意度；APP方面重点调查老年人残疾人等重点受益群体使用APP的主观感受，包括功能的可感知性、可操作性、可理解性。</w:t>
            </w:r>
          </w:p>
          <w:p>
            <w:pPr>
              <w:pStyle w:val="2"/>
              <w:keepNext w:val="0"/>
              <w:keepLines w:val="0"/>
              <w:widowControl/>
              <w:suppressLineNumbers w:val="0"/>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1956" w:hRule="atLeast"/>
          <w:jc w:val="center"/>
        </w:trPr>
        <w:tc>
          <w:tcPr>
            <w:tcW w:w="1476" w:type="dxa"/>
            <w:tcBorders>
              <w:top w:val="nil"/>
              <w:left w:val="single" w:color="auto" w:sz="4" w:space="0"/>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技术评价</w:t>
            </w:r>
          </w:p>
          <w:p>
            <w:pPr>
              <w:pStyle w:val="2"/>
              <w:keepNext w:val="0"/>
              <w:keepLines w:val="0"/>
              <w:widowControl/>
              <w:suppressLineNumbers w:val="0"/>
              <w:rPr>
                <w:rFonts w:hint="eastAsia" w:ascii="宋体" w:hAnsi="宋体" w:eastAsia="宋体" w:cs="宋体"/>
                <w:sz w:val="21"/>
                <w:szCs w:val="21"/>
              </w:rPr>
            </w:pPr>
          </w:p>
        </w:tc>
        <w:tc>
          <w:tcPr>
            <w:tcW w:w="92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40%</w:t>
            </w:r>
          </w:p>
          <w:p>
            <w:pPr>
              <w:pStyle w:val="2"/>
              <w:keepNext w:val="0"/>
              <w:keepLines w:val="0"/>
              <w:widowControl/>
              <w:suppressLineNumbers w:val="0"/>
              <w:rPr>
                <w:rFonts w:hint="eastAsia" w:ascii="宋体" w:hAnsi="宋体" w:eastAsia="宋体" w:cs="宋体"/>
                <w:sz w:val="21"/>
                <w:szCs w:val="21"/>
              </w:rPr>
            </w:pPr>
          </w:p>
        </w:tc>
        <w:tc>
          <w:tcPr>
            <w:tcW w:w="440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网站方面，以GB/T37668-2019《信息技术 互联网内容无障碍可访问性技术要求与测试方法》、YD/T1822-2008《信息无障碍 身体机能差异人群 网站无障碍评级测试方法》及《互联网网站适老化通用设计规范》为依据，通过自动化检测工具、人工检测等手段展开评测。</w:t>
            </w:r>
          </w:p>
          <w:p>
            <w:pPr>
              <w:pStyle w:val="2"/>
              <w:keepNext w:val="0"/>
              <w:keepLines w:val="0"/>
              <w:widowControl/>
              <w:suppressLineNumbers w:val="0"/>
              <w:rPr>
                <w:rFonts w:hint="eastAsia" w:ascii="宋体" w:hAnsi="宋体" w:eastAsia="宋体" w:cs="宋体"/>
                <w:sz w:val="21"/>
                <w:szCs w:val="21"/>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220" w:hRule="atLeast"/>
          <w:jc w:val="center"/>
        </w:trPr>
        <w:tc>
          <w:tcPr>
            <w:tcW w:w="1476" w:type="dxa"/>
            <w:vMerge w:val="restart"/>
            <w:tcBorders>
              <w:top w:val="nil"/>
              <w:left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自我评价</w:t>
            </w:r>
          </w:p>
          <w:p>
            <w:pPr>
              <w:rPr>
                <w:rFonts w:hint="eastAsia" w:ascii="宋体" w:hAnsi="宋体" w:eastAsia="宋体" w:cs="宋体"/>
                <w:sz w:val="21"/>
                <w:szCs w:val="21"/>
              </w:rPr>
            </w:pPr>
          </w:p>
        </w:tc>
        <w:tc>
          <w:tcPr>
            <w:tcW w:w="924" w:type="dxa"/>
            <w:vMerge w:val="restart"/>
            <w:tcBorders>
              <w:top w:val="nil"/>
              <w:left w:val="nil"/>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20%</w:t>
            </w:r>
          </w:p>
          <w:p>
            <w:pPr>
              <w:rPr>
                <w:rFonts w:hint="eastAsia" w:ascii="宋体" w:hAnsi="宋体" w:eastAsia="宋体" w:cs="宋体"/>
                <w:sz w:val="21"/>
                <w:szCs w:val="21"/>
              </w:rPr>
            </w:pPr>
          </w:p>
        </w:tc>
        <w:tc>
          <w:tcPr>
            <w:tcW w:w="440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A</w:t>
            </w:r>
            <w:bookmarkStart w:id="0" w:name="_GoBack"/>
            <w:bookmarkEnd w:id="0"/>
            <w:r>
              <w:rPr>
                <w:rFonts w:hint="eastAsia" w:ascii="宋体" w:hAnsi="宋体" w:eastAsia="宋体" w:cs="宋体"/>
                <w:sz w:val="21"/>
                <w:szCs w:val="21"/>
              </w:rPr>
              <w:t>PP方面，以GB/T37668-2019《信息技术 互联网内容无障碍可访问性技术要求与测试方法》《移动互联网应用（APP）适老化通用设计规范》为依据，通过自动化检测工具、人工检测等手段展开评测。</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2820" w:hRule="atLeast"/>
          <w:jc w:val="center"/>
        </w:trPr>
        <w:tc>
          <w:tcPr>
            <w:tcW w:w="1476" w:type="dxa"/>
            <w:vMerge w:val="continue"/>
            <w:tcBorders>
              <w:left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rPr>
                <w:rFonts w:hint="eastAsia" w:ascii="宋体" w:hAnsi="宋体" w:eastAsia="宋体" w:cs="宋体"/>
                <w:sz w:val="21"/>
                <w:szCs w:val="21"/>
              </w:rPr>
            </w:pPr>
          </w:p>
        </w:tc>
        <w:tc>
          <w:tcPr>
            <w:tcW w:w="924" w:type="dxa"/>
            <w:vMerge w:val="continue"/>
            <w:tcBorders>
              <w:left w:val="nil"/>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rPr>
                <w:rFonts w:hint="eastAsia" w:ascii="宋体" w:hAnsi="宋体" w:eastAsia="宋体" w:cs="宋体"/>
                <w:sz w:val="21"/>
                <w:szCs w:val="21"/>
              </w:rPr>
            </w:pPr>
          </w:p>
        </w:tc>
        <w:tc>
          <w:tcPr>
            <w:tcW w:w="4404" w:type="dxa"/>
            <w:tcBorders>
              <w:top w:val="nil"/>
              <w:left w:val="nil"/>
              <w:bottom w:val="single" w:color="auto" w:sz="4" w:space="0"/>
              <w:right w:val="single" w:color="auto" w:sz="4" w:space="0"/>
            </w:tcBorders>
            <w:shd w:val="clear" w:color="auto" w:fill="auto"/>
            <w:tcMar>
              <w:top w:w="0" w:type="dxa"/>
              <w:left w:w="0" w:type="dxa"/>
              <w:bottom w:w="0" w:type="dxa"/>
              <w:right w:w="0" w:type="dxa"/>
            </w:tcMar>
            <w:vAlign w:val="center"/>
          </w:tcPr>
          <w:p>
            <w:pPr>
              <w:pStyle w:val="2"/>
              <w:keepNext w:val="0"/>
              <w:keepLines w:val="0"/>
              <w:widowControl/>
              <w:suppressLineNumbers w:val="0"/>
              <w:jc w:val="left"/>
              <w:rPr>
                <w:rFonts w:hint="eastAsia" w:ascii="宋体" w:hAnsi="宋体" w:eastAsia="宋体" w:cs="宋体"/>
                <w:sz w:val="21"/>
                <w:szCs w:val="21"/>
              </w:rPr>
            </w:pPr>
            <w:r>
              <w:rPr>
                <w:rFonts w:hint="eastAsia" w:ascii="宋体" w:hAnsi="宋体" w:eastAsia="宋体" w:cs="宋体"/>
                <w:sz w:val="21"/>
                <w:szCs w:val="21"/>
              </w:rPr>
              <w:t>参与改造的企业、单位根据专项行动要求进行自我评价，并提交评价报告。</w:t>
            </w:r>
          </w:p>
          <w:p>
            <w:pPr>
              <w:pStyle w:val="2"/>
              <w:keepNext w:val="0"/>
              <w:keepLines w:val="0"/>
              <w:widowControl/>
              <w:suppressLineNumbers w:val="0"/>
              <w:rPr>
                <w:rFonts w:hint="eastAsia" w:ascii="宋体" w:hAnsi="宋体" w:eastAsia="宋体" w:cs="宋体"/>
                <w:sz w:val="21"/>
                <w:szCs w:val="21"/>
              </w:rPr>
            </w:pPr>
          </w:p>
        </w:tc>
      </w:tr>
    </w:tbl>
    <w:p>
      <w:pPr>
        <w:rPr>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3558E4"/>
    <w:rsid w:val="13E7128E"/>
    <w:rsid w:val="1B355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0"/>
    <w:rPr>
      <w:b/>
    </w:rPr>
  </w:style>
  <w:style w:type="character" w:styleId="6">
    <w:name w:val="FollowedHyperlink"/>
    <w:basedOn w:val="4"/>
    <w:uiPriority w:val="0"/>
    <w:rPr>
      <w:color w:val="333333"/>
      <w:u w:val="none"/>
    </w:rPr>
  </w:style>
  <w:style w:type="character" w:styleId="7">
    <w:name w:val="Hyperlink"/>
    <w:basedOn w:val="4"/>
    <w:uiPriority w:val="0"/>
    <w:rPr>
      <w:color w:val="333333"/>
      <w:u w:val="none"/>
    </w:rPr>
  </w:style>
  <w:style w:type="character" w:customStyle="1" w:styleId="8">
    <w:name w:val="hover"/>
    <w:basedOn w:val="4"/>
    <w:uiPriority w:val="0"/>
    <w:rPr>
      <w:color w:val="5FB878"/>
    </w:rPr>
  </w:style>
  <w:style w:type="character" w:customStyle="1" w:styleId="9">
    <w:name w:val="hover1"/>
    <w:basedOn w:val="4"/>
    <w:uiPriority w:val="0"/>
    <w:rPr>
      <w:color w:val="FFFFFF"/>
    </w:rPr>
  </w:style>
  <w:style w:type="character" w:customStyle="1" w:styleId="10">
    <w:name w:val="hover2"/>
    <w:basedOn w:val="4"/>
    <w:uiPriority w:val="0"/>
    <w:rPr>
      <w:color w:val="5FB878"/>
    </w:rPr>
  </w:style>
  <w:style w:type="character" w:customStyle="1" w:styleId="11">
    <w:name w:val="layui-laypage-curr"/>
    <w:basedOn w:val="4"/>
    <w:uiPriority w:val="0"/>
  </w:style>
  <w:style w:type="character" w:customStyle="1" w:styleId="12">
    <w:name w:val="layui-this4"/>
    <w:basedOn w:val="4"/>
    <w:uiPriority w:val="0"/>
    <w:rPr>
      <w:bdr w:val="single" w:color="EEEEEE" w:sz="4" w:space="0"/>
      <w:shd w:val="clear" w:fill="FFFFFF"/>
    </w:rPr>
  </w:style>
  <w:style w:type="character" w:customStyle="1" w:styleId="13">
    <w:name w:val="first-child"/>
    <w:basedOn w:val="4"/>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2021-05-26T01:56:00Z</dcterms:created>
  <dc:creator>文宇 （⺻▽⺻ ）</dc:creator>
  <cp:lastModifiedBy>文宇 （⺻▽⺻ ）</cp:lastModifiedBy>
  <dcterms:modified xsi:type="dcterms:W3CDTF">2021-05-26T07:36:25Z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4F5D77D3973346678272AF7AF7AC8EFE</vt:lpwstr>
  </property>
</Properties>
</file>